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D" w:rsidRDefault="00F57E9D">
      <w:pPr>
        <w:rPr>
          <w:lang w:bidi="th-TH"/>
        </w:rPr>
      </w:pPr>
    </w:p>
    <w:p w:rsidR="00F57E9D" w:rsidRPr="00E05D21" w:rsidRDefault="00F57E9D" w:rsidP="0027385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 w:rsidRPr="00E05D21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Konkurs na stanowisko głównego księgowego</w:t>
      </w:r>
    </w:p>
    <w:p w:rsidR="00F57E9D" w:rsidRPr="00E05D21" w:rsidRDefault="00F57E9D" w:rsidP="00E05D2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O NABORZE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NA WOLNE STANOWISKO PRACY </w:t>
      </w:r>
    </w:p>
    <w:p w:rsidR="00F57E9D" w:rsidRPr="00194352" w:rsidRDefault="00F57E9D" w:rsidP="0019435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Dyrektor Przedszkola Miejskiego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 z Oddziałami Integracyjnymi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Pułtusku ogłasza 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twarty i konkurencyjny nabór na 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wolne stanowisko,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głównego księgowego Przedszkola Miejskiego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 z Oddziałami Integracyjnymi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Pułtusku </w:t>
      </w:r>
    </w:p>
    <w:p w:rsidR="00F57E9D" w:rsidRDefault="00F57E9D" w:rsidP="00E05D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 Wymagania niezbędne: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1. Wykształcenie: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• ukończenie ekonomicznych jednolitych studiów magisterskich, ekonomiczne wyższe studia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zawodowe, uzupełniające ekonomiczne studia magisterskie lub 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konomiczne studia podyplomowe i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>posiada co najmniej 3-letnią praktykę w księgowości,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• ukończyła średnią, policealną lub pomaturalną szkołę ekonomiczną i posiada co najmniej 6-letnią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praktykę w księgowości,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• jest wpisana do rejestru biegłych rewidentów na podstawie odrębnych przepisów, posiada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świadectwo kwalifikacyjne uprawniające do usługowego pro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wadzenia ksiąg rachunkowych lub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>certyfikat księgowy, wydane na podstawie odrębnych przepisów.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2. obywatelstwo polskie,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3. stan zdrowia pozwalający na zatrudnienie na danym stanowisku,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4. ma pełną zdolność do czynności prawnych oraz korzysta z pełni praw publicznych,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5. nie była skazana prawomocnym wyrokiem sądu za umyślne pr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zestępstwo ścigane z oskarżenia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>publicznego lub umyślne przestępstwo skarbowe,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6. nieposzlakowana opinia,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 Wymagania dodatkowe: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1. ekonomiczne wyższe studia zawodowe, uzupełniające ekonomiczne stud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ia magisterskie lub ekonomiczne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>studia podyplomowe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2. znajomość przepisów prawa w zakresie rachunkowości budżetowej, ubezpieczeń społ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ecznych oraz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>podatków, umiejętność właściwej interpretacji i stosowania,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3. znajomość obsługi komputera w zakresie pakietu biurowego oraz programów związanych z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płacami, finansami oraz płatnikiem ZUS.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4. obowiązkowość, odpowiedzialność za wykonywaną pracę,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5. rzetelność, staranność, samodzielność, komunikatywność, wysoka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6. kultura osobista, umiejętność analizy problemów i poprawnego wyciągania wniosków.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 Zakres wykonywanych zadań: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1. prowadzenia rachunkowości jednostki,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2. wykonywania dyspozycji środkami pieniężnymi,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3. dokonywania wstępnej kontroli zgodności operacji gospodarczych i finansowych z planem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finansowym,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4. dokonywania wstępnej kontroli kompletności i rzetelności poszczególnych dokumentów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dotyczących operacji gospodarczych i finansowych.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5. stworzenia warunków najefektywniejszego wykonywania funkcji ewidencyjnych przez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uzyskiwanie danych: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·         wysokiej jakości,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·         terminowo (możliwie najszybciej),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·         według wymagań kierownictwa jednostki.;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6. wprowadzenia najlepszych metod pracy przez: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·         planowanie czynności ewidencyjnych (harmonogramy),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·         szkolenia i instruowanie personelu,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·         racjonalny podział pracy pomiędzy pracowników,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·         równomierne rozłożenie pracy w czasie,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·         właściwe wykorzystanie środków i przedmiotów pracy,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·         zastosowanie odpowiedniej techniki rachunkowości,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·         podniesienie wydajności pracy ewidencyjnej.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7. Zgodnie z ustawą o rachunkowości :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>przyjęcie zasad polityki rachunkowości,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prowadzenie, na podstawie dowodów księgowych, ksiąg rachunkowych ujmujących zapisy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>zdarzeń w porządku chronologicznym i systematycznym,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okresowe ustalanie lub sprawdzanie drogą inwentaryzacji rzeczywistego stanu aktywów i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>pasywów,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>wycenę aktywów i pasywów oraz ustalanie wyniku finansowego,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sporządzanie sprawozdań finansowych,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gromadzenie i przechowywanie dowodów księgowych oraz pozostałej dokumentacji.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8. Przy organizowaniu rachunkowości niezbędne są: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znajomość obowiązujących przepisów, ustalających jednolite zasady rachunkowości dla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całej gospodarki narodowej oraz rozwiązania szczególne dla jednostek sektora publicznego,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znajomość sektora finansów publicznych i jego jednostek organizacyjnych oraz form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prawnych, źródeł finansowania, klasyfikacji dochodów i wydatków oraz przychodów i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rozchodów, zakresu sprawozdawczości,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ustalenie charakteru, rodzaju, zakresu, ilości i odbiorców informacji księgowych,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niezbędnych do kierowania pracą poszczególnych komórek i całej jednostki, jednostki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samorządu terytorialnego, sektorem publicznym i całą gospodarką narodową,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ścisłe określenie przedmiotu ewidencji,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znajomość form i technik księgowości,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znajomość podstaw organizacji pracy w dziale księgowości.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9. Organizacja rachunkowości wiąże się ściśle z organizacją całej jednostki.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jawia się to przede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>wszystkim w tym, że: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struktura jednostki wytycza tryb sporządzania dokumentacji źródłowej, obiegu dokumentów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między poszczególnymi komórkami, sposób opracowywania dokumentów pierwotnych i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wtórnych itp.,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poszczególne formy organizacyjno-prawne (środki specjalne, gospodarstwo pomocnicze,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fundusze celowe) pozostają w określonej łączności gospodarczej, co z kolei wpływa na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zakres prowadzonej przez nie ewidencji oraz na jej powiązanie z księgowością główną,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szczególne cechy systemu zaopatrzenia, charakter zadań publicznych, źródła finansowania,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zakres odpłatności, wymagają dostosowania dokumentacji źródłowej, wpływają na wybór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metody kalkulacji itp.,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czynności ewidencyjne wykonują nie tylko księgowi, lecz również inni pracownicy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jednostki,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kierownictwo jednostki oraz pracownicy odpowiedzialni za gospodarkę finansową i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majątkową muszą w codziennej pracy posługiwać się licznymi danymi finansowo-księgowymi.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 Wymagane dokumenty: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1. list motywacyjny,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2. życiorys – curriculum vitae,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3. kwestionariusz osobowy dla osoby ubiegającej się o zatrudnienie,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4. kopie świadectw pracy z dotychczasowych miejsc pracy,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5. kopia dowodu osobistego,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6. kopie dokumentów potwierdzających wykształcenie i dodatkowe kwalifikacje,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7. oświadczenie o pełnej zdolności do czynności prawnych oraz korzystaniu z pełni praw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publicznych,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8. oświadczenie o nie skazaniu prawomocnym wyrokiem sądu za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umyślne przestępstwo ścigane z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>oskarżenia publicznego lub umyślne przestępstwo skarbowe,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9. pisemne oświadczenie o treści: Wyrażam zgodę na przet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warzanie moich danych osobowych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>zawartych w ofercie pracy dla potrzeb niezbędnych do realizacji proc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esu rekrutacji zgodnie z ustawą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z dnia 29 sierpnia 1997r. o ochronie danych osobowych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2002r. Nr 101, poz. 926 z późn. 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>zm.),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10. oświadczenie o stanie zdrowia pozwalające na wykonywanie pracy na danym stanowisku,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  <w:t>11. opinia o pracy bądź referencje z poprzednich miejsc pracy (jeżeli kandydat takie posiada),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Wymagane dokumenty aplikacyjne należy składać w zamkniętej kopercie z dopisk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iem: „Dotyczy 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otwartego i konkurencyjnego naboru na wolne stanowisko ,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głównego księgowego Przedszkola Miejskiego Nr 4 z Oddziałami Integracyjnymi w Pułtusku „ </w:t>
      </w:r>
      <w:bookmarkStart w:id="0" w:name="_GoBack"/>
      <w:bookmarkEnd w:id="0"/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siedz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ibie Przedszkola Miejskiego Nr 3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lub przesłać pocztą na 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dres: Przedszkole Miejskie Nr 3 06-102 Pułtusk ul. Uzdrowiskowa 17 w terminie do dnia 30 stycznia 2015r. do godz. 12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.00.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Aplikacje, które wpłyną do siedziby przedszkola po wyżej określonym terminie nie będą rozpatrywane.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Informacja o wyniku naboru będzie umieszczona na stronie in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ternetowej Biuletynu Informacji Publicznej (www.pm4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-pultusk.bip.org.pl) oraz na tablicy informacyjnej w siedzibie przedszkola.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Osoby, które spełnią wymagania formalne zostaną powiadomione t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elefonicznie o terminie rozmowy 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kwalifikacyjnej.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Wybrany kandydat zostanie zatrudniony na podstawie umowy o p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racę , z tym, że pierwsza umowa 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zawarta będzie na cz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as określony, nie dłuższy niż 6 </w:t>
      </w:r>
      <w:r w:rsidRPr="00E05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miesięcy.</w:t>
      </w:r>
      <w:r w:rsidRPr="00E05D2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57E9D" w:rsidRDefault="00F57E9D" w:rsidP="00E05D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7E9D" w:rsidRPr="00E05D21" w:rsidRDefault="00F57E9D" w:rsidP="00E05D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7E9D" w:rsidRDefault="00F57E9D" w:rsidP="00E05D2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F57E9D" w:rsidRDefault="00F57E9D" w:rsidP="00E05D2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F57E9D" w:rsidRDefault="00F57E9D" w:rsidP="00E05D2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F57E9D" w:rsidRDefault="00F57E9D" w:rsidP="00E05D2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F57E9D" w:rsidRDefault="00F57E9D" w:rsidP="00E05D2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F57E9D" w:rsidRDefault="00F57E9D" w:rsidP="00E05D2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F57E9D" w:rsidRDefault="00F57E9D">
      <w:pPr>
        <w:rPr>
          <w:lang w:bidi="th-TH"/>
        </w:rPr>
      </w:pPr>
    </w:p>
    <w:sectPr w:rsidR="00F57E9D" w:rsidSect="00B1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D21"/>
    <w:rsid w:val="00020765"/>
    <w:rsid w:val="00047DDD"/>
    <w:rsid w:val="00194352"/>
    <w:rsid w:val="001B5D1C"/>
    <w:rsid w:val="00273850"/>
    <w:rsid w:val="005175B0"/>
    <w:rsid w:val="007A5D7E"/>
    <w:rsid w:val="009D11F8"/>
    <w:rsid w:val="00A81A30"/>
    <w:rsid w:val="00AE2500"/>
    <w:rsid w:val="00B106D0"/>
    <w:rsid w:val="00BD6B0B"/>
    <w:rsid w:val="00E05D21"/>
    <w:rsid w:val="00F57E9D"/>
    <w:rsid w:val="00F6370B"/>
    <w:rsid w:val="00FA683F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pl-PL" w:eastAsia="pl-PL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D0"/>
    <w:pPr>
      <w:spacing w:after="200" w:line="276" w:lineRule="auto"/>
    </w:pPr>
    <w:rPr>
      <w:szCs w:val="22"/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1054</Words>
  <Characters>6326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Karasiewicz</cp:lastModifiedBy>
  <cp:revision>4</cp:revision>
  <cp:lastPrinted>2013-08-19T10:44:00Z</cp:lastPrinted>
  <dcterms:created xsi:type="dcterms:W3CDTF">2015-01-22T13:17:00Z</dcterms:created>
  <dcterms:modified xsi:type="dcterms:W3CDTF">2015-01-22T16:14:00Z</dcterms:modified>
</cp:coreProperties>
</file>